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D40D0B" w:rsidRDefault="00D40D0B" w:rsidP="0043675F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064AF4" w:rsidRPr="00E46F24" w:rsidRDefault="00064AF4" w:rsidP="0043675F">
      <w:pPr>
        <w:pStyle w:val="Default"/>
        <w:spacing w:line="36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E46F24">
        <w:rPr>
          <w:rFonts w:ascii="Times New Roman" w:hAnsi="Times New Roman" w:cs="Times New Roman"/>
          <w:b/>
          <w:bCs/>
          <w:sz w:val="32"/>
          <w:szCs w:val="32"/>
        </w:rPr>
        <w:t>MATRIZ DE RISCO</w:t>
      </w:r>
    </w:p>
    <w:p w:rsidR="00064AF4" w:rsidRDefault="00064AF4" w:rsidP="0043675F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E46F24" w:rsidRDefault="009A5F0C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9A5F0C">
        <w:rPr>
          <w:rFonts w:ascii="Times New Roman" w:hAnsi="Times New Roman" w:cs="Times New Roman"/>
          <w:sz w:val="20"/>
          <w:szCs w:val="20"/>
        </w:rPr>
        <w:t xml:space="preserve">Execução de terraplenagem, pavimentação com blocos de Pavimento Intertravado (PVS), microdrenagem e sinalização horizontal e vertical nas Ruas Fernando Kich e Fredolino Tiggemann, na localidade de Posses, no Município de Paverama, </w:t>
      </w:r>
      <w:r w:rsidRPr="00E46F24">
        <w:rPr>
          <w:rFonts w:ascii="Times New Roman" w:hAnsi="Times New Roman" w:cs="Times New Roman"/>
          <w:sz w:val="20"/>
          <w:szCs w:val="20"/>
        </w:rPr>
        <w:t>com extensão 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9A5F0C">
        <w:rPr>
          <w:rFonts w:ascii="Times New Roman" w:eastAsia="Arial Unicode MS" w:hAnsi="Times New Roman" w:cs="Times New Roman"/>
          <w:sz w:val="20"/>
          <w:szCs w:val="20"/>
        </w:rPr>
        <w:t>258,53</w:t>
      </w:r>
      <w:r w:rsidRPr="002A4918">
        <w:rPr>
          <w:rFonts w:eastAsia="Arial Unicode MS"/>
          <w:b/>
          <w:bCs/>
          <w:sz w:val="20"/>
          <w:szCs w:val="20"/>
        </w:rPr>
        <w:t xml:space="preserve"> </w:t>
      </w:r>
      <w:r w:rsidRPr="00E46F24">
        <w:rPr>
          <w:rFonts w:ascii="Times New Roman" w:hAnsi="Times New Roman" w:cs="Times New Roman"/>
          <w:sz w:val="20"/>
          <w:szCs w:val="20"/>
        </w:rPr>
        <w:t xml:space="preserve">metros </w:t>
      </w:r>
      <w:r w:rsidRPr="009A5F0C">
        <w:rPr>
          <w:rFonts w:ascii="Times New Roman" w:hAnsi="Times New Roman" w:cs="Times New Roman"/>
          <w:sz w:val="20"/>
          <w:szCs w:val="20"/>
        </w:rPr>
        <w:t xml:space="preserve">no valor total estimado de R$ </w:t>
      </w:r>
      <w:r w:rsidR="003D53D8">
        <w:rPr>
          <w:rFonts w:ascii="Times New Roman" w:hAnsi="Times New Roman" w:cs="Times New Roman"/>
          <w:sz w:val="20"/>
          <w:szCs w:val="20"/>
        </w:rPr>
        <w:t>4</w:t>
      </w:r>
      <w:r w:rsidR="003D53D8" w:rsidRPr="003D53D8">
        <w:rPr>
          <w:rFonts w:ascii="Times New Roman" w:hAnsi="Times New Roman" w:cs="Times New Roman"/>
          <w:sz w:val="20"/>
          <w:szCs w:val="20"/>
        </w:rPr>
        <w:t>82.677,73</w:t>
      </w:r>
      <w:r w:rsidR="003D53D8">
        <w:rPr>
          <w:rFonts w:ascii="Times New Roman" w:hAnsi="Times New Roman" w:cs="Times New Roman"/>
          <w:sz w:val="20"/>
          <w:szCs w:val="20"/>
        </w:rPr>
        <w:t>.</w:t>
      </w:r>
    </w:p>
    <w:p w:rsidR="0043675F" w:rsidRDefault="0043675F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</w:p>
    <w:p w:rsidR="00E46F24" w:rsidRP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43675F">
        <w:rPr>
          <w:rFonts w:ascii="Times New Roman" w:hAnsi="Times New Roman" w:cs="Times New Roman"/>
          <w:b/>
          <w:bCs/>
          <w:sz w:val="20"/>
          <w:szCs w:val="20"/>
        </w:rPr>
        <w:t>1.1. OBJETIVOS DA MATRIZ DE RISCOS:</w:t>
      </w:r>
    </w:p>
    <w:p w:rsidR="009A5F0C" w:rsidRPr="009A5F0C" w:rsidRDefault="009A5F0C" w:rsidP="009A5F0C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9A5F0C">
        <w:rPr>
          <w:rFonts w:ascii="Times New Roman" w:hAnsi="Times New Roman" w:cs="Times New Roman"/>
          <w:sz w:val="20"/>
          <w:szCs w:val="20"/>
        </w:rPr>
        <w:t>a) Identificar os riscos potenciais que possam impactar a execução do contrato.</w:t>
      </w:r>
    </w:p>
    <w:p w:rsidR="009A5F0C" w:rsidRPr="009A5F0C" w:rsidRDefault="009A5F0C" w:rsidP="009A5F0C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9A5F0C">
        <w:rPr>
          <w:rFonts w:ascii="Times New Roman" w:hAnsi="Times New Roman" w:cs="Times New Roman"/>
          <w:sz w:val="20"/>
          <w:szCs w:val="20"/>
        </w:rPr>
        <w:t>b) Analisar a probabilidade e o impacto de cada risco identificado.</w:t>
      </w:r>
    </w:p>
    <w:p w:rsidR="009A5F0C" w:rsidRPr="009A5F0C" w:rsidRDefault="009A5F0C" w:rsidP="009A5F0C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9A5F0C">
        <w:rPr>
          <w:rFonts w:ascii="Times New Roman" w:hAnsi="Times New Roman" w:cs="Times New Roman"/>
          <w:sz w:val="20"/>
          <w:szCs w:val="20"/>
        </w:rPr>
        <w:t>c) Distribuir as responsabilidades entre o Contratante (Município de Paverama) e a Contratada.</w:t>
      </w:r>
    </w:p>
    <w:p w:rsidR="0043675F" w:rsidRDefault="009A5F0C" w:rsidP="009A5F0C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9A5F0C">
        <w:rPr>
          <w:rFonts w:ascii="Times New Roman" w:hAnsi="Times New Roman" w:cs="Times New Roman"/>
          <w:sz w:val="20"/>
          <w:szCs w:val="20"/>
        </w:rPr>
        <w:t>d) Estabelecer medidas de mitigação e planos de contingência para cada risco.</w:t>
      </w:r>
    </w:p>
    <w:p w:rsidR="00E46F24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43675F">
        <w:rPr>
          <w:rFonts w:ascii="Times New Roman" w:hAnsi="Times New Roman" w:cs="Times New Roman"/>
          <w:b/>
          <w:bCs/>
          <w:sz w:val="20"/>
          <w:szCs w:val="20"/>
        </w:rPr>
        <w:t>1.2. MATRIZ DE RISCOS DETALHADA:</w:t>
      </w:r>
    </w:p>
    <w:tbl>
      <w:tblPr>
        <w:tblStyle w:val="Tabelacomgrade"/>
        <w:tblW w:w="10207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426"/>
        <w:gridCol w:w="1276"/>
        <w:gridCol w:w="1559"/>
        <w:gridCol w:w="1417"/>
        <w:gridCol w:w="993"/>
        <w:gridCol w:w="1559"/>
        <w:gridCol w:w="1276"/>
        <w:gridCol w:w="1701"/>
      </w:tblGrid>
      <w:tr w:rsidR="009A5F0C" w:rsidRPr="009A5F0C" w:rsidTr="009A5F0C">
        <w:tc>
          <w:tcPr>
            <w:tcW w:w="426" w:type="dxa"/>
            <w:hideMark/>
          </w:tcPr>
          <w:p w:rsidR="009A5F0C" w:rsidRPr="009A5F0C" w:rsidRDefault="009A5F0C" w:rsidP="009A5F0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  <w:t>ID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  <w:t>Risco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  <w:t>Descrição</w:t>
            </w:r>
          </w:p>
        </w:tc>
        <w:tc>
          <w:tcPr>
            <w:tcW w:w="1417" w:type="dxa"/>
            <w:hideMark/>
          </w:tcPr>
          <w:p w:rsidR="009A5F0C" w:rsidRPr="009A5F0C" w:rsidRDefault="009A5F0C" w:rsidP="009A5F0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  <w:t>Probabilidade</w:t>
            </w:r>
          </w:p>
        </w:tc>
        <w:tc>
          <w:tcPr>
            <w:tcW w:w="993" w:type="dxa"/>
            <w:hideMark/>
          </w:tcPr>
          <w:p w:rsidR="009A5F0C" w:rsidRPr="009A5F0C" w:rsidRDefault="009A5F0C" w:rsidP="009A5F0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  <w:t>Impacto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  <w:t>Responsabilidade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  <w:t>Medidas de Mitigação</w:t>
            </w:r>
          </w:p>
        </w:tc>
        <w:tc>
          <w:tcPr>
            <w:tcW w:w="1701" w:type="dxa"/>
            <w:hideMark/>
          </w:tcPr>
          <w:p w:rsidR="009A5F0C" w:rsidRPr="009A5F0C" w:rsidRDefault="009A5F0C" w:rsidP="009A5F0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pt-BR"/>
              </w:rPr>
              <w:t>Plano de Contingência</w:t>
            </w:r>
          </w:p>
        </w:tc>
      </w:tr>
      <w:tr w:rsidR="009A5F0C" w:rsidRPr="009A5F0C" w:rsidTr="009A5F0C">
        <w:tc>
          <w:tcPr>
            <w:tcW w:w="42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1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Condições Climáticas Adversas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Chuvas intensas, tempestades ou outras condições que possam atrasar a obra.</w:t>
            </w:r>
          </w:p>
        </w:tc>
        <w:tc>
          <w:tcPr>
            <w:tcW w:w="1417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Média</w:t>
            </w:r>
          </w:p>
        </w:tc>
        <w:tc>
          <w:tcPr>
            <w:tcW w:w="993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Alta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Contratante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Planejamento considerando períodos climáticos; monitoramento climático contínuo.</w:t>
            </w:r>
          </w:p>
        </w:tc>
        <w:tc>
          <w:tcPr>
            <w:tcW w:w="1701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Readequação do cronograma; mobilização de recursos adicionais para acelerar a execução.</w:t>
            </w:r>
          </w:p>
        </w:tc>
      </w:tr>
      <w:tr w:rsidR="009A5F0C" w:rsidRPr="009A5F0C" w:rsidTr="009A5F0C">
        <w:tc>
          <w:tcPr>
            <w:tcW w:w="42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2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Encontrar Subsolo Inadequado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Solo com baixa capacidade de suporte não identificado nos estudos iniciais, prejudicando a base do PVS.</w:t>
            </w:r>
          </w:p>
        </w:tc>
        <w:tc>
          <w:tcPr>
            <w:tcW w:w="1417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Baixa</w:t>
            </w:r>
          </w:p>
        </w:tc>
        <w:tc>
          <w:tcPr>
            <w:tcW w:w="993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Alta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Contratante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Estudos geotécnicos antes da obra; sondagens complementares.</w:t>
            </w:r>
          </w:p>
        </w:tc>
        <w:tc>
          <w:tcPr>
            <w:tcW w:w="1701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Revisão do projeto; execução de reforços específicos (reforço de base/sub-base).</w:t>
            </w:r>
          </w:p>
        </w:tc>
      </w:tr>
      <w:tr w:rsidR="009A5F0C" w:rsidRPr="009A5F0C" w:rsidTr="009A5F0C">
        <w:tc>
          <w:tcPr>
            <w:tcW w:w="42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3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Atraso na Liberação de Licenças Ambientais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Demora na obtenção de autorizações necessárias.</w:t>
            </w:r>
          </w:p>
        </w:tc>
        <w:tc>
          <w:tcPr>
            <w:tcW w:w="1417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Baixa</w:t>
            </w:r>
          </w:p>
        </w:tc>
        <w:tc>
          <w:tcPr>
            <w:tcW w:w="993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Média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Contratante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Protocolar solicitações com antecedência; acompanhamento junto aos órgãos competentes.</w:t>
            </w:r>
          </w:p>
        </w:tc>
        <w:tc>
          <w:tcPr>
            <w:tcW w:w="1701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Negociação de prazos; ajustes no cronograma das etapas não afetadas.</w:t>
            </w:r>
          </w:p>
        </w:tc>
      </w:tr>
      <w:tr w:rsidR="009A5F0C" w:rsidRPr="009A5F0C" w:rsidTr="009A5F0C">
        <w:tc>
          <w:tcPr>
            <w:tcW w:w="42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4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Falhas de Equipamentos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Quebra ou mau funcionamento de máquinas essenciais (compactadores, retroescavadeiras, etc.).</w:t>
            </w:r>
          </w:p>
        </w:tc>
        <w:tc>
          <w:tcPr>
            <w:tcW w:w="1417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Média</w:t>
            </w:r>
          </w:p>
        </w:tc>
        <w:tc>
          <w:tcPr>
            <w:tcW w:w="993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Média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Contratada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Manutenção preventiva rigorosa; treinamento da equipe.</w:t>
            </w:r>
          </w:p>
        </w:tc>
        <w:tc>
          <w:tcPr>
            <w:tcW w:w="1701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Locação de equipamentos substitutos; contratos de suporte técnico emergencial.</w:t>
            </w:r>
          </w:p>
        </w:tc>
      </w:tr>
      <w:tr w:rsidR="009A5F0C" w:rsidRPr="009A5F0C" w:rsidTr="009A5F0C">
        <w:tc>
          <w:tcPr>
            <w:tcW w:w="42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5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Fornecimento de Materiais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 xml:space="preserve">Atraso ou falta de materiais necessários (blocos intertravados, areia industrial, pó de brita, tubos de drenagem, </w:t>
            </w: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lastRenderedPageBreak/>
              <w:t>insumos de sinalização).</w:t>
            </w:r>
          </w:p>
        </w:tc>
        <w:tc>
          <w:tcPr>
            <w:tcW w:w="1417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lastRenderedPageBreak/>
              <w:t>Baixa</w:t>
            </w:r>
          </w:p>
        </w:tc>
        <w:tc>
          <w:tcPr>
            <w:tcW w:w="993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Alta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Contratada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Planejamento de compras eficiente; contratos com múltiplos fornecedores.</w:t>
            </w:r>
          </w:p>
        </w:tc>
        <w:tc>
          <w:tcPr>
            <w:tcW w:w="1701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Uso de fornecedores alternativos; estoque mínimo de blocos e materiais críticos.</w:t>
            </w:r>
          </w:p>
        </w:tc>
      </w:tr>
      <w:tr w:rsidR="009A5F0C" w:rsidRPr="009A5F0C" w:rsidTr="009A5F0C">
        <w:tc>
          <w:tcPr>
            <w:tcW w:w="42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6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Alterações Legislativas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Mudanças na legislação que impactem o contrato.</w:t>
            </w:r>
          </w:p>
        </w:tc>
        <w:tc>
          <w:tcPr>
            <w:tcW w:w="1417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Baixa</w:t>
            </w:r>
          </w:p>
        </w:tc>
        <w:tc>
          <w:tcPr>
            <w:tcW w:w="993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Média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Contratante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Monitoramento legislativo contínuo; cláusulas prevendo ajustes.</w:t>
            </w:r>
          </w:p>
        </w:tc>
        <w:tc>
          <w:tcPr>
            <w:tcW w:w="1701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Renegociação contratual; adequação às novas normas.</w:t>
            </w:r>
          </w:p>
        </w:tc>
      </w:tr>
      <w:tr w:rsidR="009A5F0C" w:rsidRPr="009A5F0C" w:rsidTr="009A5F0C">
        <w:tc>
          <w:tcPr>
            <w:tcW w:w="42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7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Acidentes de Trabalho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Ocorrência de acidentes envolvendo colaboradores.</w:t>
            </w:r>
          </w:p>
        </w:tc>
        <w:tc>
          <w:tcPr>
            <w:tcW w:w="1417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Baixa</w:t>
            </w:r>
          </w:p>
        </w:tc>
        <w:tc>
          <w:tcPr>
            <w:tcW w:w="993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Alta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Contratada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Treinamentos de segurança (DDS); uso obrigatório de EPIs; PCMAT implementado.</w:t>
            </w:r>
          </w:p>
        </w:tc>
        <w:tc>
          <w:tcPr>
            <w:tcW w:w="1701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Atendimento de emergência; investigação e medidas corretivas imediatas.</w:t>
            </w:r>
          </w:p>
        </w:tc>
      </w:tr>
      <w:tr w:rsidR="009A5F0C" w:rsidRPr="009A5F0C" w:rsidTr="009A5F0C">
        <w:tc>
          <w:tcPr>
            <w:tcW w:w="42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8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Interferências com Redes Subterrâneas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Danos a tubulações de água, esgoto ou outras infraestruturas não mapeadas.</w:t>
            </w:r>
          </w:p>
        </w:tc>
        <w:tc>
          <w:tcPr>
            <w:tcW w:w="1417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Baixa</w:t>
            </w:r>
          </w:p>
        </w:tc>
        <w:tc>
          <w:tcPr>
            <w:tcW w:w="993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Média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Contratada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Consulta prévia às concessionárias; uso de detecção em campo.</w:t>
            </w:r>
          </w:p>
        </w:tc>
        <w:tc>
          <w:tcPr>
            <w:tcW w:w="1701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Reparos imediatos; comunicação às autoridades competentes.</w:t>
            </w:r>
          </w:p>
        </w:tc>
      </w:tr>
      <w:tr w:rsidR="009A5F0C" w:rsidRPr="009A5F0C" w:rsidTr="009A5F0C">
        <w:tc>
          <w:tcPr>
            <w:tcW w:w="42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9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Greves ou Paralisações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Greves de trabalhadores ou fornecedores impactando a obra.</w:t>
            </w:r>
          </w:p>
        </w:tc>
        <w:tc>
          <w:tcPr>
            <w:tcW w:w="1417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Baixa</w:t>
            </w:r>
          </w:p>
        </w:tc>
        <w:tc>
          <w:tcPr>
            <w:tcW w:w="993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Média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Contratada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Boas práticas trabalhistas; relacionamento próximo com fornecedores.</w:t>
            </w:r>
          </w:p>
        </w:tc>
        <w:tc>
          <w:tcPr>
            <w:tcW w:w="1701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Contratação temporária de mão de obra; busca de fornecedores alternativos.</w:t>
            </w:r>
          </w:p>
        </w:tc>
      </w:tr>
      <w:tr w:rsidR="009A5F0C" w:rsidRPr="009A5F0C" w:rsidTr="009A5F0C">
        <w:tc>
          <w:tcPr>
            <w:tcW w:w="42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10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ind w:firstLine="123"/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Pandemias ou Crises de Saúde Pública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Restrições impostas por autoridades sanitárias.</w:t>
            </w:r>
          </w:p>
        </w:tc>
        <w:tc>
          <w:tcPr>
            <w:tcW w:w="1417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Baixa</w:t>
            </w:r>
          </w:p>
        </w:tc>
        <w:tc>
          <w:tcPr>
            <w:tcW w:w="993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Alta</w:t>
            </w:r>
          </w:p>
        </w:tc>
        <w:tc>
          <w:tcPr>
            <w:tcW w:w="1559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Contratante e Contratada</w:t>
            </w:r>
          </w:p>
        </w:tc>
        <w:tc>
          <w:tcPr>
            <w:tcW w:w="1276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Protocolos de saúde e segurança; acompanhamento das orientações oficiais.</w:t>
            </w:r>
          </w:p>
        </w:tc>
        <w:tc>
          <w:tcPr>
            <w:tcW w:w="1701" w:type="dxa"/>
            <w:hideMark/>
          </w:tcPr>
          <w:p w:rsidR="009A5F0C" w:rsidRPr="009A5F0C" w:rsidRDefault="009A5F0C" w:rsidP="009A5F0C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</w:pPr>
            <w:r w:rsidRPr="009A5F0C">
              <w:rPr>
                <w:rFonts w:ascii="Times New Roman" w:eastAsia="Times New Roman" w:hAnsi="Times New Roman" w:cs="Times New Roman"/>
                <w:sz w:val="18"/>
                <w:szCs w:val="18"/>
                <w:lang w:eastAsia="pt-BR"/>
              </w:rPr>
              <w:t>Suspensão temporária dos trabalhos; ajustes no cronograma conforme orientações.</w:t>
            </w:r>
          </w:p>
        </w:tc>
      </w:tr>
    </w:tbl>
    <w:p w:rsidR="00E46F24" w:rsidRDefault="00E46F24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3675F" w:rsidRP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43675F">
        <w:rPr>
          <w:rFonts w:ascii="Times New Roman" w:hAnsi="Times New Roman" w:cs="Times New Roman"/>
          <w:b/>
          <w:bCs/>
          <w:sz w:val="20"/>
          <w:szCs w:val="20"/>
        </w:rPr>
        <w:t>1.3. DISTRIBUIÇÃO DE RESPONSABILIDADES:</w:t>
      </w:r>
    </w:p>
    <w:p w:rsidR="009A5F0C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a) </w:t>
      </w:r>
      <w:r w:rsidRPr="0043675F">
        <w:rPr>
          <w:rFonts w:ascii="Times New Roman" w:hAnsi="Times New Roman" w:cs="Times New Roman"/>
          <w:sz w:val="20"/>
          <w:szCs w:val="20"/>
        </w:rPr>
        <w:t>Contratante (Município de Paverama/RS):</w:t>
      </w:r>
    </w:p>
    <w:p w:rsidR="009A5F0C" w:rsidRDefault="009A5F0C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9A5F0C">
        <w:rPr>
          <w:rFonts w:ascii="Times New Roman" w:hAnsi="Times New Roman" w:cs="Times New Roman"/>
          <w:sz w:val="20"/>
          <w:szCs w:val="20"/>
        </w:rPr>
        <w:t xml:space="preserve">Responsável por riscos relacionados a atos ou omissões da Administração, como atrasos na obtenção de licenças, alterações legislativas e condições climáticas adversas de caráter extraordinário. </w:t>
      </w:r>
    </w:p>
    <w:p w:rsidR="009A5F0C" w:rsidRDefault="009A5F0C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9A5F0C">
        <w:rPr>
          <w:rFonts w:ascii="Times New Roman" w:hAnsi="Times New Roman" w:cs="Times New Roman"/>
          <w:sz w:val="20"/>
          <w:szCs w:val="20"/>
        </w:rPr>
        <w:t>Deve fornecer acesso irrestrito às áreas de execução e garantir que não haja impedimentos administrativos.</w:t>
      </w:r>
    </w:p>
    <w:p w:rsidR="009A5F0C" w:rsidRDefault="009A5F0C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3675F" w:rsidRP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b) </w:t>
      </w:r>
      <w:r w:rsidRPr="0043675F">
        <w:rPr>
          <w:rFonts w:ascii="Times New Roman" w:hAnsi="Times New Roman" w:cs="Times New Roman"/>
          <w:sz w:val="20"/>
          <w:szCs w:val="20"/>
        </w:rPr>
        <w:t>Contratada:</w:t>
      </w:r>
    </w:p>
    <w:p w:rsidR="0043675F" w:rsidRDefault="009A5F0C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9A5F0C">
        <w:rPr>
          <w:rFonts w:ascii="Times New Roman" w:hAnsi="Times New Roman" w:cs="Times New Roman"/>
          <w:sz w:val="20"/>
          <w:szCs w:val="20"/>
        </w:rPr>
        <w:t>Responsável pelos riscos inerentes à execução dos serviços, incluindo fornecimento de materiais (blocos PVS, areia industrial, tubos de drenagem e insumos de sinalização), mão de obra, equipamentos, cumprimento das normas de segurança e gestão de suas atividades.</w:t>
      </w:r>
    </w:p>
    <w:p w:rsidR="009A5F0C" w:rsidRPr="0043675F" w:rsidRDefault="009A5F0C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3675F" w:rsidRP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43675F">
        <w:rPr>
          <w:rFonts w:ascii="Times New Roman" w:hAnsi="Times New Roman" w:cs="Times New Roman"/>
          <w:b/>
          <w:bCs/>
          <w:sz w:val="20"/>
          <w:szCs w:val="20"/>
        </w:rPr>
        <w:t>1.4. ESTRATÉGIAS DE GERENCIAMENTO DE RISCOS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:rsidR="0043675F" w:rsidRP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a) </w:t>
      </w:r>
      <w:r w:rsidRPr="0043675F">
        <w:rPr>
          <w:rFonts w:ascii="Times New Roman" w:hAnsi="Times New Roman" w:cs="Times New Roman"/>
          <w:sz w:val="20"/>
          <w:szCs w:val="20"/>
        </w:rPr>
        <w:t>Monitoramento Contínuo:</w:t>
      </w:r>
    </w:p>
    <w:p w:rsidR="0043675F" w:rsidRPr="0043675F" w:rsidRDefault="0043675F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675F">
        <w:rPr>
          <w:rFonts w:ascii="Times New Roman" w:hAnsi="Times New Roman" w:cs="Times New Roman"/>
          <w:sz w:val="20"/>
          <w:szCs w:val="20"/>
        </w:rPr>
        <w:t>Manter um sistema de monitoramento dos riscos identificados, revisando periodicamente sua probabilidade e impacto.</w:t>
      </w:r>
    </w:p>
    <w:p w:rsidR="0043675F" w:rsidRDefault="0043675F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675F">
        <w:rPr>
          <w:rFonts w:ascii="Times New Roman" w:hAnsi="Times New Roman" w:cs="Times New Roman"/>
          <w:sz w:val="20"/>
          <w:szCs w:val="20"/>
        </w:rPr>
        <w:lastRenderedPageBreak/>
        <w:t>Realizar reuniões periódicas entre a equipe da contratada e a fiscalização para atualização dos riscos.</w:t>
      </w:r>
    </w:p>
    <w:p w:rsidR="0043675F" w:rsidRP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b) </w:t>
      </w:r>
      <w:r w:rsidRPr="0043675F">
        <w:rPr>
          <w:rFonts w:ascii="Times New Roman" w:hAnsi="Times New Roman" w:cs="Times New Roman"/>
          <w:sz w:val="20"/>
          <w:szCs w:val="20"/>
        </w:rPr>
        <w:t>Planos de Ação:</w:t>
      </w:r>
    </w:p>
    <w:p w:rsidR="0043675F" w:rsidRDefault="0043675F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675F">
        <w:rPr>
          <w:rFonts w:ascii="Times New Roman" w:hAnsi="Times New Roman" w:cs="Times New Roman"/>
          <w:sz w:val="20"/>
          <w:szCs w:val="20"/>
        </w:rPr>
        <w:t>Desenvolver planos de ação específicos para riscos com alta probabilidade ou impacto.</w:t>
      </w:r>
    </w:p>
    <w:p w:rsidR="0043675F" w:rsidRDefault="0043675F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675F">
        <w:rPr>
          <w:rFonts w:ascii="Times New Roman" w:hAnsi="Times New Roman" w:cs="Times New Roman"/>
          <w:sz w:val="20"/>
          <w:szCs w:val="20"/>
        </w:rPr>
        <w:t>Estabelecer responsabilidades claras para a implementação das medidas de mitigação e contingência.</w:t>
      </w:r>
    </w:p>
    <w:p w:rsidR="0043675F" w:rsidRP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c) </w:t>
      </w:r>
      <w:r w:rsidRPr="0043675F">
        <w:rPr>
          <w:rFonts w:ascii="Times New Roman" w:hAnsi="Times New Roman" w:cs="Times New Roman"/>
          <w:sz w:val="20"/>
          <w:szCs w:val="20"/>
        </w:rPr>
        <w:t>Comunicação Eficaz:</w:t>
      </w:r>
    </w:p>
    <w:p w:rsidR="0043675F" w:rsidRDefault="0043675F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675F">
        <w:rPr>
          <w:rFonts w:ascii="Times New Roman" w:hAnsi="Times New Roman" w:cs="Times New Roman"/>
          <w:sz w:val="20"/>
          <w:szCs w:val="20"/>
        </w:rPr>
        <w:t>Garantir canais de comunicação abertos entre o Contratante e a Contratada.</w:t>
      </w:r>
    </w:p>
    <w:p w:rsidR="0043675F" w:rsidRDefault="0043675F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675F">
        <w:rPr>
          <w:rFonts w:ascii="Times New Roman" w:hAnsi="Times New Roman" w:cs="Times New Roman"/>
          <w:sz w:val="20"/>
          <w:szCs w:val="20"/>
        </w:rPr>
        <w:t>Notificar imediatamente qualquer evento que possa materializar um risco.</w:t>
      </w:r>
    </w:p>
    <w:p w:rsid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d) </w:t>
      </w:r>
      <w:r w:rsidRPr="0043675F">
        <w:rPr>
          <w:rFonts w:ascii="Times New Roman" w:hAnsi="Times New Roman" w:cs="Times New Roman"/>
          <w:sz w:val="20"/>
          <w:szCs w:val="20"/>
        </w:rPr>
        <w:t>Documentação:</w:t>
      </w:r>
    </w:p>
    <w:p w:rsidR="0043675F" w:rsidRDefault="0043675F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675F">
        <w:rPr>
          <w:rFonts w:ascii="Times New Roman" w:hAnsi="Times New Roman" w:cs="Times New Roman"/>
          <w:sz w:val="20"/>
          <w:szCs w:val="20"/>
        </w:rPr>
        <w:t>Registrar todas as ocorrências relacionadas aos riscos, ações tomadas e resultados obtidos.</w:t>
      </w:r>
    </w:p>
    <w:p w:rsidR="0043675F" w:rsidRDefault="0043675F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675F">
        <w:rPr>
          <w:rFonts w:ascii="Times New Roman" w:hAnsi="Times New Roman" w:cs="Times New Roman"/>
          <w:sz w:val="20"/>
          <w:szCs w:val="20"/>
        </w:rPr>
        <w:t>Manter registros atualizados que possam servir de base para tomadas de decisão e histórico para futuros contratos.</w:t>
      </w:r>
    </w:p>
    <w:p w:rsid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3675F" w:rsidRP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43675F">
        <w:rPr>
          <w:rFonts w:ascii="Times New Roman" w:hAnsi="Times New Roman" w:cs="Times New Roman"/>
          <w:b/>
          <w:bCs/>
          <w:sz w:val="20"/>
          <w:szCs w:val="20"/>
        </w:rPr>
        <w:t>1.5. CLÁUSULAS CONTRATUAIS ESPECÍFICAS</w:t>
      </w:r>
    </w:p>
    <w:p w:rsid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a) </w:t>
      </w:r>
      <w:r w:rsidRPr="0043675F">
        <w:rPr>
          <w:rFonts w:ascii="Times New Roman" w:hAnsi="Times New Roman" w:cs="Times New Roman"/>
          <w:sz w:val="20"/>
          <w:szCs w:val="20"/>
        </w:rPr>
        <w:t>Revisão de Cronograma:</w:t>
      </w:r>
    </w:p>
    <w:p w:rsidR="0043675F" w:rsidRDefault="0043675F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675F">
        <w:rPr>
          <w:rFonts w:ascii="Times New Roman" w:hAnsi="Times New Roman" w:cs="Times New Roman"/>
          <w:sz w:val="20"/>
          <w:szCs w:val="20"/>
        </w:rPr>
        <w:t>Prevê-se a possibilidade de revisão do cronograma em função da materialização de riscos atribuídos ao Contratante.</w:t>
      </w:r>
    </w:p>
    <w:p w:rsid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b) </w:t>
      </w:r>
      <w:r w:rsidRPr="0043675F">
        <w:rPr>
          <w:rFonts w:ascii="Times New Roman" w:hAnsi="Times New Roman" w:cs="Times New Roman"/>
          <w:sz w:val="20"/>
          <w:szCs w:val="20"/>
        </w:rPr>
        <w:t>Equilíbrio Econômico-Financeiro:</w:t>
      </w:r>
    </w:p>
    <w:p w:rsidR="0043675F" w:rsidRPr="0043675F" w:rsidRDefault="0043675F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675F">
        <w:rPr>
          <w:rFonts w:ascii="Times New Roman" w:hAnsi="Times New Roman" w:cs="Times New Roman"/>
          <w:sz w:val="20"/>
          <w:szCs w:val="20"/>
        </w:rPr>
        <w:t>Em caso de eventos extraordinários que onerem excessivamente a Contratada, poderá ser solicitado o reequilíbrio econômico-financeiro do contrato, conforme disposto na legislação.</w:t>
      </w:r>
    </w:p>
    <w:p w:rsid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c) </w:t>
      </w:r>
      <w:r w:rsidRPr="0043675F">
        <w:rPr>
          <w:rFonts w:ascii="Times New Roman" w:hAnsi="Times New Roman" w:cs="Times New Roman"/>
          <w:sz w:val="20"/>
          <w:szCs w:val="20"/>
        </w:rPr>
        <w:t>Seguros Obrigatórios:</w:t>
      </w:r>
    </w:p>
    <w:p w:rsidR="0043675F" w:rsidRP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43675F">
        <w:rPr>
          <w:rFonts w:ascii="Times New Roman" w:hAnsi="Times New Roman" w:cs="Times New Roman"/>
          <w:sz w:val="20"/>
          <w:szCs w:val="20"/>
        </w:rPr>
        <w:t>A Contratada deverá contratar seguros que cubram riscos associados à sua responsabilidade, como seguro de acidentes de trabalho, danos a terceiros, entre outros.</w:t>
      </w:r>
    </w:p>
    <w:p w:rsid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:rsidR="0043675F" w:rsidRPr="0043675F" w:rsidRDefault="0043675F" w:rsidP="0043675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43675F">
        <w:rPr>
          <w:rFonts w:ascii="Times New Roman" w:hAnsi="Times New Roman" w:cs="Times New Roman"/>
          <w:b/>
          <w:bCs/>
          <w:sz w:val="20"/>
          <w:szCs w:val="20"/>
        </w:rPr>
        <w:t>1.6. CONSIDERAÇÕES FINAIS:</w:t>
      </w:r>
    </w:p>
    <w:p w:rsidR="0043675F" w:rsidRDefault="0043675F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675F">
        <w:rPr>
          <w:rFonts w:ascii="Times New Roman" w:hAnsi="Times New Roman" w:cs="Times New Roman"/>
          <w:sz w:val="20"/>
          <w:szCs w:val="20"/>
        </w:rPr>
        <w:t>A elaboração desta Matriz de Riscos tem como finalidade promover uma execução contratual eficiente, minimizando impactos negativos e assegurando o cumprimento dos objetivos do projeto. É essencial que ambas as partes mantenham uma postura proativa na gestão dos riscos, atuando de forma colaborativa para superar desafios que possam surgir ao longo da execução.</w:t>
      </w:r>
    </w:p>
    <w:p w:rsidR="00E46F24" w:rsidRDefault="00E46F24" w:rsidP="004367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</w:p>
    <w:p w:rsidR="00E46F24" w:rsidRDefault="00E46F24" w:rsidP="0043675F">
      <w:pPr>
        <w:spacing w:after="0" w:line="360" w:lineRule="auto"/>
        <w:jc w:val="center"/>
        <w:rPr>
          <w:rFonts w:ascii="Times New Roman" w:eastAsia="Arial Unicode MS" w:hAnsi="Times New Roman"/>
          <w:sz w:val="20"/>
          <w:szCs w:val="20"/>
        </w:rPr>
      </w:pPr>
      <w:r w:rsidRPr="00433AB0">
        <w:rPr>
          <w:rFonts w:ascii="Times New Roman" w:eastAsia="Arial Unicode MS" w:hAnsi="Times New Roman"/>
          <w:sz w:val="20"/>
          <w:szCs w:val="20"/>
        </w:rPr>
        <w:t xml:space="preserve">Paverama/RS, </w:t>
      </w:r>
      <w:r w:rsidR="009A5F0C">
        <w:rPr>
          <w:rFonts w:ascii="Times New Roman" w:eastAsia="Arial Unicode MS" w:hAnsi="Times New Roman"/>
          <w:sz w:val="20"/>
          <w:szCs w:val="20"/>
        </w:rPr>
        <w:t>05</w:t>
      </w:r>
      <w:r w:rsidRPr="00433AB0">
        <w:rPr>
          <w:rFonts w:ascii="Times New Roman" w:eastAsia="Arial Unicode MS" w:hAnsi="Times New Roman"/>
          <w:sz w:val="20"/>
          <w:szCs w:val="20"/>
        </w:rPr>
        <w:t xml:space="preserve"> de </w:t>
      </w:r>
      <w:r w:rsidR="009A5F0C">
        <w:rPr>
          <w:rFonts w:ascii="Times New Roman" w:eastAsia="Arial Unicode MS" w:hAnsi="Times New Roman"/>
          <w:sz w:val="20"/>
          <w:szCs w:val="20"/>
        </w:rPr>
        <w:t>Setembr</w:t>
      </w:r>
      <w:r>
        <w:rPr>
          <w:rFonts w:ascii="Times New Roman" w:eastAsia="Arial Unicode MS" w:hAnsi="Times New Roman"/>
          <w:sz w:val="20"/>
          <w:szCs w:val="20"/>
        </w:rPr>
        <w:t>o</w:t>
      </w:r>
      <w:r w:rsidRPr="00433AB0">
        <w:rPr>
          <w:rFonts w:ascii="Times New Roman" w:eastAsia="Arial Unicode MS" w:hAnsi="Times New Roman"/>
          <w:sz w:val="20"/>
          <w:szCs w:val="20"/>
        </w:rPr>
        <w:t xml:space="preserve"> de 202</w:t>
      </w:r>
      <w:r>
        <w:rPr>
          <w:rFonts w:ascii="Times New Roman" w:eastAsia="Arial Unicode MS" w:hAnsi="Times New Roman"/>
          <w:sz w:val="20"/>
          <w:szCs w:val="20"/>
        </w:rPr>
        <w:t>5</w:t>
      </w:r>
      <w:r w:rsidRPr="00433AB0">
        <w:rPr>
          <w:rFonts w:ascii="Times New Roman" w:eastAsia="Arial Unicode MS" w:hAnsi="Times New Roman"/>
          <w:sz w:val="20"/>
          <w:szCs w:val="20"/>
        </w:rPr>
        <w:t>.</w:t>
      </w:r>
    </w:p>
    <w:p w:rsidR="00E46F24" w:rsidRPr="00433AB0" w:rsidRDefault="00E46F24" w:rsidP="0043675F">
      <w:pPr>
        <w:spacing w:after="0" w:line="360" w:lineRule="auto"/>
        <w:jc w:val="center"/>
        <w:rPr>
          <w:rFonts w:ascii="Times New Roman" w:eastAsia="Arial Unicode MS" w:hAnsi="Times New Roman"/>
          <w:sz w:val="20"/>
          <w:szCs w:val="20"/>
        </w:rPr>
      </w:pPr>
    </w:p>
    <w:p w:rsidR="00E46F24" w:rsidRPr="00433AB0" w:rsidRDefault="00E46F24" w:rsidP="0043675F">
      <w:pPr>
        <w:spacing w:after="0" w:line="360" w:lineRule="auto"/>
        <w:jc w:val="center"/>
        <w:rPr>
          <w:rFonts w:ascii="Times New Roman" w:eastAsia="Arial Unicode MS" w:hAnsi="Times New Roman"/>
          <w:sz w:val="20"/>
          <w:szCs w:val="20"/>
        </w:rPr>
      </w:pPr>
    </w:p>
    <w:p w:rsidR="00E46F24" w:rsidRPr="00433AB0" w:rsidRDefault="00E46F24" w:rsidP="0043675F">
      <w:pPr>
        <w:spacing w:after="0" w:line="360" w:lineRule="auto"/>
        <w:jc w:val="both"/>
        <w:rPr>
          <w:rFonts w:ascii="Times New Roman" w:eastAsia="Arial Unicode MS" w:hAnsi="Times New Roman"/>
          <w:b/>
          <w:sz w:val="20"/>
          <w:szCs w:val="20"/>
        </w:rPr>
      </w:pPr>
    </w:p>
    <w:p w:rsidR="00E46F24" w:rsidRPr="00433AB0" w:rsidRDefault="00E46F24" w:rsidP="0043675F">
      <w:pPr>
        <w:spacing w:after="0" w:line="360" w:lineRule="auto"/>
        <w:jc w:val="center"/>
        <w:rPr>
          <w:rFonts w:ascii="Times New Roman" w:eastAsia="Arial Unicode MS" w:hAnsi="Times New Roman"/>
          <w:b/>
          <w:sz w:val="20"/>
          <w:szCs w:val="20"/>
        </w:rPr>
      </w:pPr>
      <w:r>
        <w:rPr>
          <w:rFonts w:ascii="Times New Roman" w:eastAsia="Arial Unicode MS" w:hAnsi="Times New Roman"/>
          <w:b/>
          <w:sz w:val="20"/>
          <w:szCs w:val="20"/>
        </w:rPr>
        <w:t>ALEXANDRE LUÍS KLEBER</w:t>
      </w:r>
    </w:p>
    <w:p w:rsidR="00E46F24" w:rsidRPr="00433AB0" w:rsidRDefault="00E46F24" w:rsidP="0043675F">
      <w:pPr>
        <w:spacing w:after="0" w:line="360" w:lineRule="auto"/>
        <w:jc w:val="center"/>
        <w:rPr>
          <w:rFonts w:ascii="Times New Roman" w:eastAsia="Arial Unicode MS" w:hAnsi="Times New Roman"/>
          <w:b/>
          <w:sz w:val="20"/>
          <w:szCs w:val="20"/>
        </w:rPr>
      </w:pPr>
      <w:r w:rsidRPr="00433AB0">
        <w:rPr>
          <w:rFonts w:ascii="Times New Roman" w:eastAsia="Arial Unicode MS" w:hAnsi="Times New Roman"/>
          <w:b/>
          <w:sz w:val="20"/>
          <w:szCs w:val="20"/>
        </w:rPr>
        <w:t xml:space="preserve">Secretário Municipal de </w:t>
      </w:r>
      <w:r>
        <w:rPr>
          <w:rFonts w:ascii="Times New Roman" w:eastAsia="Arial Unicode MS" w:hAnsi="Times New Roman"/>
          <w:b/>
          <w:sz w:val="20"/>
          <w:szCs w:val="20"/>
        </w:rPr>
        <w:t>Administração, Fazenda e Planejamento</w:t>
      </w:r>
    </w:p>
    <w:p w:rsidR="00064AF4" w:rsidRPr="00E46F24" w:rsidRDefault="00064AF4" w:rsidP="0043675F">
      <w:pPr>
        <w:spacing w:after="0" w:line="360" w:lineRule="auto"/>
        <w:jc w:val="center"/>
        <w:rPr>
          <w:rFonts w:ascii="Times New Roman" w:hAnsi="Times New Roman" w:cs="Times New Roman"/>
          <w:sz w:val="20"/>
          <w:szCs w:val="20"/>
        </w:rPr>
      </w:pPr>
    </w:p>
    <w:sectPr w:rsidR="00064AF4" w:rsidRPr="00E46F24" w:rsidSect="009A5F0C">
      <w:headerReference w:type="default" r:id="rId6"/>
      <w:footerReference w:type="default" r:id="rId7"/>
      <w:pgSz w:w="11906" w:h="16838"/>
      <w:pgMar w:top="2127" w:right="1701" w:bottom="1276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690A60" w:rsidRDefault="00690A60" w:rsidP="00064AF4">
      <w:pPr>
        <w:spacing w:after="0" w:line="240" w:lineRule="auto"/>
      </w:pPr>
      <w:r>
        <w:separator/>
      </w:r>
    </w:p>
  </w:endnote>
  <w:endnote w:type="continuationSeparator" w:id="0">
    <w:p w:rsidR="00690A60" w:rsidRDefault="00690A60" w:rsidP="00064A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man Old Style">
    <w:altName w:val="Bookman Old Style"/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064AF4" w:rsidRDefault="00E46F24">
    <w:pPr>
      <w:pStyle w:val="Rodap"/>
    </w:pPr>
    <w:r>
      <w:rPr>
        <w:noProof/>
      </w:rPr>
      <w:drawing>
        <wp:anchor distT="0" distB="0" distL="114300" distR="114300" simplePos="0" relativeHeight="251661312" behindDoc="1" locked="0" layoutInCell="1" allowOverlap="1" wp14:anchorId="69F9EC9C">
          <wp:simplePos x="0" y="0"/>
          <wp:positionH relativeFrom="margin">
            <wp:align>center</wp:align>
          </wp:positionH>
          <wp:positionV relativeFrom="paragraph">
            <wp:posOffset>-632460</wp:posOffset>
          </wp:positionV>
          <wp:extent cx="5114290" cy="1133475"/>
          <wp:effectExtent l="0" t="0" r="0" b="9525"/>
          <wp:wrapNone/>
          <wp:docPr id="25405301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14290" cy="11334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64AF4">
      <w:rPr>
        <w:noProof/>
        <w:lang w:eastAsia="pt-BR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797560</wp:posOffset>
          </wp:positionH>
          <wp:positionV relativeFrom="paragraph">
            <wp:posOffset>9504680</wp:posOffset>
          </wp:positionV>
          <wp:extent cx="6323965" cy="1123950"/>
          <wp:effectExtent l="0" t="0" r="635" b="0"/>
          <wp:wrapNone/>
          <wp:docPr id="986992138" name="Imagem 9869921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23965" cy="11239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64AF4">
      <w:rPr>
        <w:noProof/>
        <w:lang w:eastAsia="pt-BR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797560</wp:posOffset>
          </wp:positionH>
          <wp:positionV relativeFrom="paragraph">
            <wp:posOffset>9504680</wp:posOffset>
          </wp:positionV>
          <wp:extent cx="6323965" cy="1123950"/>
          <wp:effectExtent l="0" t="0" r="635" b="0"/>
          <wp:wrapNone/>
          <wp:docPr id="1625238058" name="Imagem 16252380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23965" cy="11239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690A60" w:rsidRDefault="00690A60" w:rsidP="00064AF4">
      <w:pPr>
        <w:spacing w:after="0" w:line="240" w:lineRule="auto"/>
      </w:pPr>
      <w:r>
        <w:separator/>
      </w:r>
    </w:p>
  </w:footnote>
  <w:footnote w:type="continuationSeparator" w:id="0">
    <w:p w:rsidR="00690A60" w:rsidRDefault="00690A60" w:rsidP="00064A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064AF4" w:rsidRDefault="00064AF4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paragraph">
            <wp:posOffset>-351790</wp:posOffset>
          </wp:positionV>
          <wp:extent cx="4381500" cy="981710"/>
          <wp:effectExtent l="0" t="0" r="0" b="8890"/>
          <wp:wrapNone/>
          <wp:docPr id="1094602515" name="Imagem 10946025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9817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1D21"/>
    <w:rsid w:val="00064AF4"/>
    <w:rsid w:val="001610A3"/>
    <w:rsid w:val="001E2010"/>
    <w:rsid w:val="002F7169"/>
    <w:rsid w:val="003D53D8"/>
    <w:rsid w:val="003E1542"/>
    <w:rsid w:val="0043675F"/>
    <w:rsid w:val="00444002"/>
    <w:rsid w:val="004549EA"/>
    <w:rsid w:val="0063537F"/>
    <w:rsid w:val="00690A60"/>
    <w:rsid w:val="007255B1"/>
    <w:rsid w:val="007F5CCB"/>
    <w:rsid w:val="009736F2"/>
    <w:rsid w:val="009A54B1"/>
    <w:rsid w:val="009A5F0C"/>
    <w:rsid w:val="009A6845"/>
    <w:rsid w:val="00B747C9"/>
    <w:rsid w:val="00BD1D21"/>
    <w:rsid w:val="00D40D0B"/>
    <w:rsid w:val="00D468C3"/>
    <w:rsid w:val="00D92BA2"/>
    <w:rsid w:val="00E46F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13810A"/>
  <w15:chartTrackingRefBased/>
  <w15:docId w15:val="{82C832D5-B97F-43A3-ACA0-97D14BCDCA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Default">
    <w:name w:val="Default"/>
    <w:rsid w:val="00064AF4"/>
    <w:pPr>
      <w:autoSpaceDE w:val="0"/>
      <w:autoSpaceDN w:val="0"/>
      <w:adjustRightInd w:val="0"/>
      <w:spacing w:after="0" w:line="240" w:lineRule="auto"/>
    </w:pPr>
    <w:rPr>
      <w:rFonts w:ascii="Bookman Old Style" w:hAnsi="Bookman Old Style" w:cs="Bookman Old Style"/>
      <w:color w:val="000000"/>
      <w:sz w:val="24"/>
      <w:szCs w:val="24"/>
    </w:rPr>
  </w:style>
  <w:style w:type="paragraph" w:styleId="Cabealho">
    <w:name w:val="header"/>
    <w:basedOn w:val="Normal"/>
    <w:link w:val="CabealhoChar"/>
    <w:uiPriority w:val="99"/>
    <w:unhideWhenUsed/>
    <w:rsid w:val="00064AF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064AF4"/>
  </w:style>
  <w:style w:type="paragraph" w:styleId="Rodap">
    <w:name w:val="footer"/>
    <w:basedOn w:val="Normal"/>
    <w:link w:val="RodapChar"/>
    <w:unhideWhenUsed/>
    <w:rsid w:val="00064AF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064AF4"/>
  </w:style>
  <w:style w:type="table" w:styleId="Tabelacomgrade">
    <w:name w:val="Table Grid"/>
    <w:basedOn w:val="Tabelanormal"/>
    <w:uiPriority w:val="39"/>
    <w:rsid w:val="00064A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E46F24"/>
    <w:pPr>
      <w:ind w:left="720"/>
      <w:contextualSpacing/>
    </w:pPr>
  </w:style>
  <w:style w:type="table" w:styleId="TabeladeGradeClara">
    <w:name w:val="Grid Table Light"/>
    <w:basedOn w:val="Tabelanormal"/>
    <w:uiPriority w:val="40"/>
    <w:rsid w:val="009A5F0C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062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8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2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3</Pages>
  <Words>972</Words>
  <Characters>5255</Characters>
  <Application>Microsoft Office Word</Application>
  <DocSecurity>0</DocSecurity>
  <Lines>43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8</cp:revision>
  <dcterms:created xsi:type="dcterms:W3CDTF">2024-06-12T15:31:00Z</dcterms:created>
  <dcterms:modified xsi:type="dcterms:W3CDTF">2025-09-05T10:57:00Z</dcterms:modified>
</cp:coreProperties>
</file>